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839F">
      <w:pPr>
        <w:adjustRightInd w:val="0"/>
        <w:snapToGrid w:val="0"/>
        <w:spacing w:line="560" w:lineRule="exact"/>
        <w:rPr>
          <w:rFonts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5BAE0DD6">
      <w:pPr>
        <w:spacing w:line="720" w:lineRule="exact"/>
        <w:ind w:left="2240" w:hanging="2240" w:hangingChars="700"/>
        <w:jc w:val="both"/>
        <w:rPr>
          <w:rFonts w:ascii="仿宋" w:hAnsi="仿宋" w:eastAsia="仿宋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36961909"/>
      <w:r>
        <w:rPr>
          <w:rFonts w:hint="eastAsia" w:ascii="仿宋" w:hAnsi="仿宋" w:eastAsia="仿宋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蚌埠市市区</w:t>
      </w:r>
      <w:r>
        <w:rPr>
          <w:rFonts w:ascii="仿宋" w:hAnsi="仿宋" w:eastAsia="仿宋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年高中</w:t>
      </w:r>
      <w:bookmarkStart w:id="1" w:name="_Hlk137045005"/>
      <w:r>
        <w:rPr>
          <w:rFonts w:hint="eastAsia" w:ascii="仿宋" w:hAnsi="仿宋" w:eastAsia="仿宋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足球特长生及市队校办运动员</w:t>
      </w:r>
      <w:bookmarkEnd w:id="1"/>
      <w:r>
        <w:rPr>
          <w:rFonts w:hint="eastAsia" w:ascii="仿宋" w:hAnsi="仿宋" w:eastAsia="仿宋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招生专项测试项目及评分标准</w:t>
      </w:r>
    </w:p>
    <w:bookmarkEnd w:id="0"/>
    <w:p w14:paraId="2C9D7F73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9BF2A8">
      <w:pPr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一、专项测试项目及评分标准制定依据</w:t>
      </w:r>
    </w:p>
    <w:p w14:paraId="424EFE04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贯彻落实《国家体育总局关于开展全国青少年校园足球活动的通知》（体群字〔2009〕54号）精神，推动校园足球改革发展，根据教育部《学生足球运动技能等级评定标准（试行）》，参照国家校园足球夏令营、冬令营队员测试方案，结合我市高中阶段校园足球特色学校招生政策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并通过现场测试验证，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报市校园足球办公室审核批准，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制定蚌埠市市区202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年高中足球特长生及市队校办运动员招生专项测试项目及评分标准。</w:t>
      </w:r>
    </w:p>
    <w:p w14:paraId="02C114F8">
      <w:pPr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二、测试项目及分值</w:t>
      </w:r>
    </w:p>
    <w:p w14:paraId="10977A6A">
      <w:pPr>
        <w:adjustRightInd w:val="0"/>
        <w:snapToGrid w:val="0"/>
        <w:spacing w:line="52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足球专项测试项目分为两个大项。第一大项为身体素质、基本技术，满分为6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分。第二大项为实战能力测试，满分为4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分。专项测试分队员与守门员两种，使用5号足球。</w:t>
      </w:r>
    </w:p>
    <w:p w14:paraId="0CDF86AE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第一大项和第二大项成绩累计，合成总成绩，在统计分数过程中均保留小数点后一位（四舍五入），若出现总成绩并列的情况，则以实战成绩从高分到低分排序，总成绩达到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分及以上，为测试合格，具备报考足球特长生及市队校办运动员资格。</w:t>
      </w:r>
    </w:p>
    <w:p w14:paraId="4D6CDB30">
      <w:pPr>
        <w:adjustRightInd w:val="0"/>
        <w:snapToGrid w:val="0"/>
        <w:spacing w:line="52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9165B8">
      <w:pPr>
        <w:adjustRightInd w:val="0"/>
        <w:snapToGrid w:val="0"/>
        <w:spacing w:line="52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（一）身体素质测试（队员、守门员）</w:t>
      </w:r>
    </w:p>
    <w:p w14:paraId="7DB8F291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多项绕杆跑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（队员：1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分；守门员：1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分）。</w:t>
      </w:r>
    </w:p>
    <w:p w14:paraId="30CD00E4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（二）队员基本技术测试</w:t>
      </w:r>
    </w:p>
    <w:p w14:paraId="5F7B22BE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颠球（1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分）；</w:t>
      </w:r>
    </w:p>
    <w:p w14:paraId="3FC6CE95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折线运球（1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81ECE03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定位球踢准（1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FAFF087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（三）守门员基本技术测试</w:t>
      </w:r>
    </w:p>
    <w:p w14:paraId="73FC9303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手抛球（1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分）；</w:t>
      </w:r>
    </w:p>
    <w:p w14:paraId="1E0EDC85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持球踢远（1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分）；</w:t>
      </w:r>
    </w:p>
    <w:p w14:paraId="28C7796E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扑接球（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分）。</w:t>
      </w:r>
    </w:p>
    <w:p w14:paraId="6624EDD2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（四）实战能力测试（队员、守门员）</w:t>
      </w:r>
    </w:p>
    <w:p w14:paraId="2E128740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比赛中的技术运用，对抗中的传接球，场上位置职责，攻防转换等（4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分）。</w:t>
      </w:r>
    </w:p>
    <w:p w14:paraId="55E16722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三、测试办法及评分标准</w:t>
      </w:r>
    </w:p>
    <w:p w14:paraId="564E1AD6">
      <w:pPr>
        <w:spacing w:line="56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（一）多项绕杆跑（队员：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分；守门员：1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 w14:paraId="11ED0FDF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89535</wp:posOffset>
            </wp:positionH>
            <wp:positionV relativeFrom="margin">
              <wp:posOffset>5865495</wp:posOffset>
            </wp:positionV>
            <wp:extent cx="5270500" cy="2425700"/>
            <wp:effectExtent l="0" t="0" r="6350" b="12700"/>
            <wp:wrapSquare wrapText="bothSides"/>
            <wp:docPr id="5" name="图片 5" descr="多项绕杆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多项绕杆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测试场地：平整的人工草或天然草足球场，划定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米区域。中间标志杆间距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米。</w:t>
      </w:r>
    </w:p>
    <w:p w14:paraId="139B4D18">
      <w:pPr>
        <w:spacing w:line="560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（图一）</w:t>
      </w:r>
    </w:p>
    <w:p w14:paraId="68942F32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测试方法：听测评员口令后，从起始点采用站立式起跑，按照规定路线，依次越过各标志杆后冲过终点。</w:t>
      </w:r>
    </w:p>
    <w:p w14:paraId="569FDC61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测评员记录其所用时间。漏杆或者没有按照既定路线则没有成绩，未到达终点者不计成绩，起跑抢跑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次不计成绩。以秒为单位记录测试成绩，精确到小数点后一位，小数点后第二位数按非“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”进“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”原则进位。每人在组内循环测试两次，记录最佳成绩。</w:t>
      </w:r>
    </w:p>
    <w:p w14:paraId="41C1BA26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（表一）队员多项绕杆跑评分标准</w:t>
      </w:r>
    </w:p>
    <w:tbl>
      <w:tblPr>
        <w:tblStyle w:val="2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227"/>
        <w:gridCol w:w="1228"/>
        <w:gridCol w:w="1228"/>
        <w:gridCol w:w="1228"/>
        <w:gridCol w:w="1228"/>
        <w:gridCol w:w="1228"/>
      </w:tblGrid>
      <w:tr w14:paraId="5CCC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Align w:val="center"/>
          </w:tcPr>
          <w:p w14:paraId="726465A0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多项绕杆跑</w:t>
            </w:r>
          </w:p>
        </w:tc>
        <w:tc>
          <w:tcPr>
            <w:tcW w:w="1227" w:type="dxa"/>
            <w:vAlign w:val="center"/>
          </w:tcPr>
          <w:p w14:paraId="01CDCC20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4CAFEC50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6D047F64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28" w:type="dxa"/>
            <w:vAlign w:val="center"/>
          </w:tcPr>
          <w:p w14:paraId="4A0E7CE5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25007E75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4F5822F9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281F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restart"/>
            <w:vAlign w:val="center"/>
          </w:tcPr>
          <w:p w14:paraId="48527488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092336F1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463E78A4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1B223D14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227" w:type="dxa"/>
            <w:vAlign w:val="center"/>
          </w:tcPr>
          <w:p w14:paraId="49D531D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14.6</w:t>
            </w:r>
          </w:p>
        </w:tc>
        <w:tc>
          <w:tcPr>
            <w:tcW w:w="1228" w:type="dxa"/>
            <w:vAlign w:val="center"/>
          </w:tcPr>
          <w:p w14:paraId="386F0F5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1228" w:type="dxa"/>
            <w:vAlign w:val="center"/>
          </w:tcPr>
          <w:p w14:paraId="0F6901F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228" w:type="dxa"/>
            <w:vAlign w:val="center"/>
          </w:tcPr>
          <w:p w14:paraId="3DB9C04E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1228" w:type="dxa"/>
            <w:vAlign w:val="center"/>
          </w:tcPr>
          <w:p w14:paraId="6B928C2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19.6</w:t>
            </w:r>
          </w:p>
        </w:tc>
        <w:tc>
          <w:tcPr>
            <w:tcW w:w="1228" w:type="dxa"/>
            <w:vAlign w:val="center"/>
          </w:tcPr>
          <w:p w14:paraId="6AAC324D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</w:tr>
      <w:tr w14:paraId="1321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5785F92C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0DA3334D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14.8</w:t>
            </w:r>
          </w:p>
        </w:tc>
        <w:tc>
          <w:tcPr>
            <w:tcW w:w="1228" w:type="dxa"/>
            <w:vAlign w:val="center"/>
          </w:tcPr>
          <w:p w14:paraId="4F61F1F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  <w:tc>
          <w:tcPr>
            <w:tcW w:w="1228" w:type="dxa"/>
            <w:vAlign w:val="center"/>
          </w:tcPr>
          <w:p w14:paraId="4552C615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228" w:type="dxa"/>
            <w:vAlign w:val="center"/>
          </w:tcPr>
          <w:p w14:paraId="095DF285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1228" w:type="dxa"/>
            <w:vAlign w:val="center"/>
          </w:tcPr>
          <w:p w14:paraId="61F5677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20.0</w:t>
            </w:r>
          </w:p>
        </w:tc>
        <w:tc>
          <w:tcPr>
            <w:tcW w:w="1228" w:type="dxa"/>
            <w:vAlign w:val="center"/>
          </w:tcPr>
          <w:p w14:paraId="0B15B7C5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</w:tr>
      <w:tr w14:paraId="6B0E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42C212A2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626FF40A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</w:t>
            </w:r>
          </w:p>
        </w:tc>
        <w:tc>
          <w:tcPr>
            <w:tcW w:w="1228" w:type="dxa"/>
            <w:vAlign w:val="center"/>
          </w:tcPr>
          <w:p w14:paraId="7015EB9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17.2</w:t>
            </w:r>
          </w:p>
        </w:tc>
        <w:tc>
          <w:tcPr>
            <w:tcW w:w="1228" w:type="dxa"/>
            <w:vAlign w:val="center"/>
          </w:tcPr>
          <w:p w14:paraId="0273D51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13分</w:t>
            </w:r>
          </w:p>
        </w:tc>
        <w:tc>
          <w:tcPr>
            <w:tcW w:w="1228" w:type="dxa"/>
            <w:vAlign w:val="center"/>
          </w:tcPr>
          <w:p w14:paraId="661E8441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1228" w:type="dxa"/>
            <w:vAlign w:val="center"/>
          </w:tcPr>
          <w:p w14:paraId="05232D2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1228" w:type="dxa"/>
            <w:vAlign w:val="center"/>
          </w:tcPr>
          <w:p w14:paraId="33A613F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7E27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2BFD6E08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7F22128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  <w:tc>
          <w:tcPr>
            <w:tcW w:w="1228" w:type="dxa"/>
            <w:vAlign w:val="center"/>
          </w:tcPr>
          <w:p w14:paraId="2FA45167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1228" w:type="dxa"/>
            <w:vAlign w:val="center"/>
          </w:tcPr>
          <w:p w14:paraId="34F2255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1228" w:type="dxa"/>
            <w:vAlign w:val="center"/>
          </w:tcPr>
          <w:p w14:paraId="66937B7F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  <w:tc>
          <w:tcPr>
            <w:tcW w:w="1228" w:type="dxa"/>
            <w:vAlign w:val="center"/>
          </w:tcPr>
          <w:p w14:paraId="5157FBA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1228" w:type="dxa"/>
            <w:vAlign w:val="center"/>
          </w:tcPr>
          <w:p w14:paraId="2602A0AE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</w:tr>
      <w:tr w14:paraId="1DAA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63EA220B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7372CAC0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  <w:tc>
          <w:tcPr>
            <w:tcW w:w="1228" w:type="dxa"/>
            <w:vAlign w:val="center"/>
          </w:tcPr>
          <w:p w14:paraId="4181DB5C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18.0</w:t>
            </w:r>
          </w:p>
        </w:tc>
        <w:tc>
          <w:tcPr>
            <w:tcW w:w="1228" w:type="dxa"/>
            <w:vAlign w:val="center"/>
          </w:tcPr>
          <w:p w14:paraId="2A9C26B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11分</w:t>
            </w:r>
          </w:p>
        </w:tc>
        <w:tc>
          <w:tcPr>
            <w:tcW w:w="1228" w:type="dxa"/>
            <w:vAlign w:val="center"/>
          </w:tcPr>
          <w:p w14:paraId="16937E6F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17.0</w:t>
            </w:r>
          </w:p>
        </w:tc>
        <w:tc>
          <w:tcPr>
            <w:tcW w:w="1228" w:type="dxa"/>
            <w:vAlign w:val="center"/>
          </w:tcPr>
          <w:p w14:paraId="6D4586A0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1228" w:type="dxa"/>
            <w:vAlign w:val="center"/>
          </w:tcPr>
          <w:p w14:paraId="1D340B4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</w:tr>
      <w:tr w14:paraId="011E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59759855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5B0E855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  <w:tc>
          <w:tcPr>
            <w:tcW w:w="1228" w:type="dxa"/>
            <w:vAlign w:val="center"/>
          </w:tcPr>
          <w:p w14:paraId="6EE4BA5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1228" w:type="dxa"/>
            <w:vAlign w:val="center"/>
          </w:tcPr>
          <w:p w14:paraId="40C36748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228" w:type="dxa"/>
            <w:vAlign w:val="center"/>
          </w:tcPr>
          <w:p w14:paraId="40271F1A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17.2</w:t>
            </w:r>
          </w:p>
        </w:tc>
        <w:tc>
          <w:tcPr>
            <w:tcW w:w="1228" w:type="dxa"/>
            <w:vAlign w:val="center"/>
          </w:tcPr>
          <w:p w14:paraId="164BC22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228" w:type="dxa"/>
            <w:vAlign w:val="center"/>
          </w:tcPr>
          <w:p w14:paraId="755FE0B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</w:tr>
      <w:tr w14:paraId="536B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05F33A63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5884DC3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15.8</w:t>
            </w:r>
          </w:p>
        </w:tc>
        <w:tc>
          <w:tcPr>
            <w:tcW w:w="1228" w:type="dxa"/>
            <w:vAlign w:val="center"/>
          </w:tcPr>
          <w:p w14:paraId="0A62F109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  <w:tc>
          <w:tcPr>
            <w:tcW w:w="1228" w:type="dxa"/>
            <w:vAlign w:val="center"/>
          </w:tcPr>
          <w:p w14:paraId="5E6E5BD8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1228" w:type="dxa"/>
            <w:vAlign w:val="center"/>
          </w:tcPr>
          <w:p w14:paraId="02BA65C0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17.4</w:t>
            </w:r>
          </w:p>
        </w:tc>
        <w:tc>
          <w:tcPr>
            <w:tcW w:w="1228" w:type="dxa"/>
            <w:vAlign w:val="center"/>
          </w:tcPr>
          <w:p w14:paraId="19C2356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22.0</w:t>
            </w:r>
          </w:p>
        </w:tc>
        <w:tc>
          <w:tcPr>
            <w:tcW w:w="1228" w:type="dxa"/>
            <w:vAlign w:val="center"/>
          </w:tcPr>
          <w:p w14:paraId="7253DFAA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0B2A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3B91882F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54E6BB9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16.0</w:t>
            </w:r>
          </w:p>
        </w:tc>
        <w:tc>
          <w:tcPr>
            <w:tcW w:w="1228" w:type="dxa"/>
            <w:vAlign w:val="center"/>
          </w:tcPr>
          <w:p w14:paraId="7ADB5131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19.2</w:t>
            </w:r>
          </w:p>
        </w:tc>
        <w:tc>
          <w:tcPr>
            <w:tcW w:w="1228" w:type="dxa"/>
            <w:vAlign w:val="center"/>
          </w:tcPr>
          <w:p w14:paraId="04CCC83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228" w:type="dxa"/>
            <w:vAlign w:val="center"/>
          </w:tcPr>
          <w:p w14:paraId="3E81BC84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7.5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74FB1D2C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  <w:tc>
          <w:tcPr>
            <w:tcW w:w="1228" w:type="dxa"/>
            <w:vAlign w:val="center"/>
          </w:tcPr>
          <w:p w14:paraId="58679BD0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.1及</w:t>
            </w:r>
          </w:p>
          <w:p w14:paraId="39C3CF97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以下上</w:t>
            </w:r>
          </w:p>
        </w:tc>
        <w:tc>
          <w:tcPr>
            <w:tcW w:w="1228" w:type="dxa"/>
            <w:vAlign w:val="center"/>
          </w:tcPr>
          <w:p w14:paraId="496DA74D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</w:tr>
    </w:tbl>
    <w:p w14:paraId="09BEA723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（表二）守门员多项绕杆跑评分标准</w:t>
      </w:r>
    </w:p>
    <w:tbl>
      <w:tblPr>
        <w:tblStyle w:val="2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227"/>
        <w:gridCol w:w="1228"/>
        <w:gridCol w:w="1228"/>
        <w:gridCol w:w="1228"/>
        <w:gridCol w:w="1228"/>
        <w:gridCol w:w="1228"/>
      </w:tblGrid>
      <w:tr w14:paraId="0576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Align w:val="center"/>
          </w:tcPr>
          <w:p w14:paraId="35A07294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多项绕杆跑</w:t>
            </w:r>
          </w:p>
        </w:tc>
        <w:tc>
          <w:tcPr>
            <w:tcW w:w="1227" w:type="dxa"/>
            <w:vAlign w:val="center"/>
          </w:tcPr>
          <w:p w14:paraId="074CA26B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588ACC9F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1BFB296C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28" w:type="dxa"/>
            <w:vAlign w:val="center"/>
          </w:tcPr>
          <w:p w14:paraId="385E454B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5F86C07A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7E593B16">
            <w:pPr>
              <w:spacing w:line="0" w:lineRule="atLeas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75E5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restart"/>
            <w:vAlign w:val="center"/>
          </w:tcPr>
          <w:p w14:paraId="5A72FD28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2C7E6BF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2A36AF8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6718F4D0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227" w:type="dxa"/>
            <w:vAlign w:val="center"/>
          </w:tcPr>
          <w:p w14:paraId="59F602E8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</w:t>
            </w:r>
          </w:p>
        </w:tc>
        <w:tc>
          <w:tcPr>
            <w:tcW w:w="1228" w:type="dxa"/>
            <w:vAlign w:val="center"/>
          </w:tcPr>
          <w:p w14:paraId="1817FBE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17.2</w:t>
            </w:r>
          </w:p>
        </w:tc>
        <w:tc>
          <w:tcPr>
            <w:tcW w:w="1228" w:type="dxa"/>
            <w:vAlign w:val="center"/>
          </w:tcPr>
          <w:p w14:paraId="39441632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228" w:type="dxa"/>
            <w:vAlign w:val="center"/>
          </w:tcPr>
          <w:p w14:paraId="3874723F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8" w:type="dxa"/>
            <w:vAlign w:val="center"/>
          </w:tcPr>
          <w:p w14:paraId="6666F04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19.6</w:t>
            </w:r>
          </w:p>
        </w:tc>
        <w:tc>
          <w:tcPr>
            <w:tcW w:w="1228" w:type="dxa"/>
            <w:vAlign w:val="center"/>
          </w:tcPr>
          <w:p w14:paraId="2946D85C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</w:tr>
      <w:tr w14:paraId="0342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242A5986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238D82ED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  <w:tc>
          <w:tcPr>
            <w:tcW w:w="1228" w:type="dxa"/>
            <w:vAlign w:val="center"/>
          </w:tcPr>
          <w:p w14:paraId="7AECF39C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1228" w:type="dxa"/>
            <w:vAlign w:val="center"/>
          </w:tcPr>
          <w:p w14:paraId="5B12AC47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1228" w:type="dxa"/>
            <w:vAlign w:val="center"/>
          </w:tcPr>
          <w:p w14:paraId="429DEBF9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8" w:type="dxa"/>
            <w:vAlign w:val="center"/>
          </w:tcPr>
          <w:p w14:paraId="350C0FD5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8" w:type="dxa"/>
            <w:vAlign w:val="center"/>
          </w:tcPr>
          <w:p w14:paraId="7EB8BED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</w:tr>
      <w:tr w14:paraId="32DB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108004A2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22726FA9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  <w:tc>
          <w:tcPr>
            <w:tcW w:w="1228" w:type="dxa"/>
            <w:vAlign w:val="center"/>
          </w:tcPr>
          <w:p w14:paraId="2C00A191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18.0</w:t>
            </w:r>
          </w:p>
        </w:tc>
        <w:tc>
          <w:tcPr>
            <w:tcW w:w="1228" w:type="dxa"/>
            <w:vAlign w:val="center"/>
          </w:tcPr>
          <w:p w14:paraId="6A4895AC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228" w:type="dxa"/>
            <w:vAlign w:val="center"/>
          </w:tcPr>
          <w:p w14:paraId="1FECD2DD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17.2</w:t>
            </w:r>
          </w:p>
        </w:tc>
        <w:tc>
          <w:tcPr>
            <w:tcW w:w="1228" w:type="dxa"/>
            <w:vAlign w:val="center"/>
          </w:tcPr>
          <w:p w14:paraId="312F95E4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1228" w:type="dxa"/>
            <w:vAlign w:val="center"/>
          </w:tcPr>
          <w:p w14:paraId="7A567A6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</w:tr>
      <w:tr w14:paraId="2ECE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08304508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4D0A746F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  <w:tc>
          <w:tcPr>
            <w:tcW w:w="1228" w:type="dxa"/>
            <w:vAlign w:val="center"/>
          </w:tcPr>
          <w:p w14:paraId="76917D59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1228" w:type="dxa"/>
            <w:vAlign w:val="center"/>
          </w:tcPr>
          <w:p w14:paraId="3325599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1228" w:type="dxa"/>
            <w:vAlign w:val="center"/>
          </w:tcPr>
          <w:p w14:paraId="77D3FDA5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1228" w:type="dxa"/>
            <w:vAlign w:val="center"/>
          </w:tcPr>
          <w:p w14:paraId="7F0B3369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1228" w:type="dxa"/>
            <w:vAlign w:val="center"/>
          </w:tcPr>
          <w:p w14:paraId="325AAD77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3E21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46A7D2DD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317FDAEC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15.8</w:t>
            </w:r>
          </w:p>
        </w:tc>
        <w:tc>
          <w:tcPr>
            <w:tcW w:w="1228" w:type="dxa"/>
            <w:vAlign w:val="center"/>
          </w:tcPr>
          <w:p w14:paraId="495E92ED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  <w:tc>
          <w:tcPr>
            <w:tcW w:w="1228" w:type="dxa"/>
            <w:vAlign w:val="center"/>
          </w:tcPr>
          <w:p w14:paraId="175BF9B0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1228" w:type="dxa"/>
            <w:vMerge w:val="restart"/>
            <w:vAlign w:val="center"/>
          </w:tcPr>
          <w:p w14:paraId="2CBD6B2E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7.7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671F18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  <w:tc>
          <w:tcPr>
            <w:tcW w:w="1228" w:type="dxa"/>
            <w:vMerge w:val="restart"/>
            <w:vAlign w:val="center"/>
          </w:tcPr>
          <w:p w14:paraId="67F6F920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1FAC74F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228" w:type="dxa"/>
            <w:vMerge w:val="restart"/>
            <w:vAlign w:val="center"/>
          </w:tcPr>
          <w:p w14:paraId="7F81F78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</w:tr>
      <w:tr w14:paraId="1D2B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vMerge w:val="continue"/>
            <w:vAlign w:val="center"/>
          </w:tcPr>
          <w:p w14:paraId="3BBEE662"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Align w:val="center"/>
          </w:tcPr>
          <w:p w14:paraId="374CAAA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16.0</w:t>
            </w:r>
          </w:p>
        </w:tc>
        <w:tc>
          <w:tcPr>
            <w:tcW w:w="1228" w:type="dxa"/>
            <w:vAlign w:val="center"/>
          </w:tcPr>
          <w:p w14:paraId="6F9EA961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19.2</w:t>
            </w:r>
          </w:p>
        </w:tc>
        <w:tc>
          <w:tcPr>
            <w:tcW w:w="1228" w:type="dxa"/>
            <w:vAlign w:val="center"/>
          </w:tcPr>
          <w:p w14:paraId="230AF9BE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228" w:type="dxa"/>
            <w:vMerge w:val="continue"/>
            <w:vAlign w:val="center"/>
          </w:tcPr>
          <w:p w14:paraId="2B2016C4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5F0EFD03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B98556B">
            <w:pPr>
              <w:spacing w:line="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47F189">
      <w:pPr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AC6DBA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（二）颠球（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 w14:paraId="7FE9A9FA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测试场地：平整的人工草或天然草足球场，划定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直径2米的圆圈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区域。</w:t>
      </w:r>
    </w:p>
    <w:p w14:paraId="466E9BEC">
      <w:pPr>
        <w:adjustRightInd w:val="0"/>
        <w:snapToGrid w:val="0"/>
        <w:spacing w:line="52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测试办法：考生颠球开始时可以用手抛球或用脚把球从地面挑起（手抛球第一次不计个数），在直径2米的圆圈区域内，用任意有效部位（除手、臂外）连续颠球。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测评员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记录颠球个数。开始颠球未颠满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3个（含3个），可重测一次。颠满3个以上，如果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球落地或支撑脚出圆圈，则为一次颠球结束。</w:t>
      </w:r>
    </w:p>
    <w:p w14:paraId="4C10D46D">
      <w:pPr>
        <w:adjustRightInd w:val="0"/>
        <w:snapToGrid w:val="0"/>
        <w:spacing w:line="52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评分方法：每人测三次，记录最高一次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颠球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个数。</w:t>
      </w:r>
    </w:p>
    <w:p w14:paraId="5DEA7360">
      <w:pPr>
        <w:adjustRightInd w:val="0"/>
        <w:snapToGrid w:val="0"/>
        <w:spacing w:line="54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（表三）颠球评分标准</w:t>
      </w:r>
    </w:p>
    <w:tbl>
      <w:tblPr>
        <w:tblStyle w:val="2"/>
        <w:tblW w:w="10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46"/>
        <w:gridCol w:w="847"/>
        <w:gridCol w:w="847"/>
        <w:gridCol w:w="847"/>
        <w:gridCol w:w="847"/>
        <w:gridCol w:w="847"/>
        <w:gridCol w:w="846"/>
        <w:gridCol w:w="847"/>
        <w:gridCol w:w="847"/>
        <w:gridCol w:w="847"/>
        <w:gridCol w:w="847"/>
        <w:gridCol w:w="847"/>
      </w:tblGrid>
      <w:tr w14:paraId="2F5F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F6AAEEE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颠球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509A01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0D3DA6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3CEACB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AFACD74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F18CA19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2E5B46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1630C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2C73E0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D55A586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FA0FC50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922F821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87456F7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67C1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25368B7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0254F53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BDBC6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6C569E3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9A6C6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100B808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3DD2B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15AD7D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A21E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7A5070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DB54E3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114A47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0B623A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D77F3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16F4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6CD826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3021BE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60704B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7B7778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AA5FD8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</w:tc>
      </w:tr>
      <w:tr w14:paraId="7AA5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04D100F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E73220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FD880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9182C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9C444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59ED2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7A209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A5C9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60CAF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E6F57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7.05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CF2B9F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3D183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1AEF4B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3.15</w:t>
            </w:r>
          </w:p>
        </w:tc>
      </w:tr>
      <w:tr w14:paraId="5555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2E305C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43CD5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9689A4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9CCB02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D4EB6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9F83EF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451AC2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3DF7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F05CB9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0792DF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CA7BFB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D1143E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05CA30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</w:tr>
      <w:tr w14:paraId="14E1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0428A75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709AB4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D291D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ECB99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F91F59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6BD0A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76DCC4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CBBF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31F3FF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91445E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34299A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B1741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E843B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</w:tr>
      <w:tr w14:paraId="6C1B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AF7107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88573A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1F97BD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E6C13D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685886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A575A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F4673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CE5F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B3CAC3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2FF65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179744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D9321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59DCB5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</w:tr>
      <w:tr w14:paraId="3790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C512F8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1D1F66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64977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AFAF63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A9C450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515602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048F2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1C792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A7CA5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CD3E4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E1B1E5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469730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B09443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2.55</w:t>
            </w:r>
          </w:p>
        </w:tc>
      </w:tr>
      <w:tr w14:paraId="7D0A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2D41FBA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86703C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BFC9F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13BFF6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9DB19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A090D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29E4F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9395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3587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85E0C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93F5E9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F5300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FF8F2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2.40</w:t>
            </w:r>
          </w:p>
        </w:tc>
      </w:tr>
      <w:tr w14:paraId="77D8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0FACD30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040A9D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E988BA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1361D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13.95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60342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88075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171D03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9B6A7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612EA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E1E6A2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611951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F8FF17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0B6A1A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  <w:tr w14:paraId="16BD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82B6CA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E9E520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FE4E4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439369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894178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775EBC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0E7EFA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1B3D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CFEF25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A93D5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449F6B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63264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4F8B3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2.10</w:t>
            </w:r>
          </w:p>
        </w:tc>
      </w:tr>
      <w:tr w14:paraId="017A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33A075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069EB1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34D960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A4894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13076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785E5B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877B12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D300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9B73D2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48206D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BE018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1414F3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16BFFA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1.95</w:t>
            </w:r>
          </w:p>
        </w:tc>
      </w:tr>
      <w:tr w14:paraId="0D45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EAFCEF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BA354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510831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851BD6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E17E15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A2853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A9D183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EB043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7B924A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FEE8D4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3F382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86DCC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83B599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1.80</w:t>
            </w:r>
          </w:p>
        </w:tc>
      </w:tr>
      <w:tr w14:paraId="336E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122B4B6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209267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B9E164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77E1A5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734B05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0F5F37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EAC85D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64D45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ECE21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D81372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B6579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49A6D7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1E7F1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</w:tr>
      <w:tr w14:paraId="19A0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2B5568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FBB945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A2F0D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64CD6C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92BA4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B840A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110B7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E03E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C25DD0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F3B180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FDD71A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2D8518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2C26E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</w:tr>
      <w:tr w14:paraId="6011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2B17D8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5346BE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CD9EDC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487F71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95C7F2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59B50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60C2D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064F4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E0BE5D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CAB544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8595F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38D49A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5B7BD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</w:tr>
      <w:tr w14:paraId="68AA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79016A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2FE819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796CAD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ECC4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8E03D6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996131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21D6F4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AD88E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DE08E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47A6C3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F98486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629475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8601FA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</w:tr>
      <w:tr w14:paraId="3E1F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B4CBF7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341506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884287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98DDC7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68831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15F2C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82553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B47E9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85D3A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27934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4.95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40BAF2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03F079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9354E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</w:tr>
      <w:tr w14:paraId="7C7E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DBC2C1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7EBFA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BAB9A9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4CB38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31618A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94AAF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57D43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E6E7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94FCE8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E7EBB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D178A9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AD5305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C0D3FC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</w:tr>
      <w:tr w14:paraId="046A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20AB4F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BDBCBE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7C0024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022AC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82200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EEAFCC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CE9C8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8.55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B975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60FBD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C7E8E3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D757BF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EFEA84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9ECB6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</w:tr>
      <w:tr w14:paraId="3D7A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82A2A8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688A40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92CD46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D7F102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A3A53E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8ADAE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B7E706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905AC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26186B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22B315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98DED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ABC700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43F92A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</w:tr>
      <w:tr w14:paraId="24AF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3807EF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4B62C2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43A97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71354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2B92FC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4F0CFD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DCF43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0C3F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1EAF12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7D1F8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B2066D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7F41B4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622BC5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</w:tr>
      <w:tr w14:paraId="1B36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3925A2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5ADE74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E88EB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11B863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E3C1C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E155B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AC92B3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9A27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FDD193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CC803F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96091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B7466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CC60A9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</w:tr>
      <w:tr w14:paraId="79BF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9139A1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8C612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F41D0B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8CB459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BA40B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0BFE96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73A23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D0D4C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CDE687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5DF4D0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4.05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7BA65A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75D32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1C0A85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</w:tr>
      <w:tr w14:paraId="5A21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7CC5284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8B2CDE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CDBC3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F7035D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B6B77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E1C3E7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1B8CF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6274E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7247A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016A2E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89F78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E11E9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7C2BD6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BE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1C27470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8006F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F8E9BF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FF0DEF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6C7A6E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2A2DC4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768341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5368A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07D5C7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536B7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9D78E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62771C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2CFB4B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7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1B0C8EF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56221B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DFCBE2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6B7F00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3547EE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01B63E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E79D32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07D08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A9F434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068E8C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8E4CF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52D369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AD11C9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3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3D778A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4EF2E7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CA1EC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C07483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793637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98E2F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2BA79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5805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388F73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5FFAC0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8DF728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81D7F8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C3BD85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2469DA">
      <w:pPr>
        <w:spacing w:line="56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5C9C92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（三）折线运球（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 w14:paraId="158052B1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测试场地：平整的人工草或天然草足球场，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米区域。起点终点距离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米，标志杆宽间距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米，长间距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米。</w:t>
      </w:r>
    </w:p>
    <w:p w14:paraId="61C61B30">
      <w:pP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419725" cy="2514600"/>
            <wp:effectExtent l="0" t="0" r="9525" b="0"/>
            <wp:docPr id="4" name="图片 4" descr="折线运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折线运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FB83">
      <w:pPr>
        <w:spacing w:line="592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（图二）</w:t>
      </w:r>
    </w:p>
    <w:p w14:paraId="344F5D9D">
      <w:pPr>
        <w:adjustRightInd w:val="0"/>
        <w:snapToGrid w:val="0"/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测试方法：听测评员口令后，从标志桶内的起始线开始运球，分别绕过标志杆外侧，冲过终点线。运球启动开始计时，运球冲过标志桶的终点停表。球先人后或人球一致通过终点线方为有效。</w:t>
      </w:r>
    </w:p>
    <w:p w14:paraId="74E45DF9">
      <w:pPr>
        <w:adjustRightInd w:val="0"/>
        <w:snapToGrid w:val="0"/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测评员计时，对照评分标准给予相应成绩，每人在组内循环测试两次，记录最佳成绩。运球中漏杆，手触球、碰倒标志杆、没有运球冲过终点线不计成绩。以秒为单位记录测试成绩，精确到小数点后一位，小数点后第二位数按非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”进“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”原则进位。如两次测试均没有成绩，则补测一次作为最终成绩。</w:t>
      </w:r>
    </w:p>
    <w:p w14:paraId="42225F39">
      <w:pPr>
        <w:adjustRightInd w:val="0"/>
        <w:snapToGrid w:val="0"/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D9D309">
      <w:pPr>
        <w:adjustRightInd w:val="0"/>
        <w:snapToGrid w:val="0"/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（表四）折线运球评分标准</w:t>
      </w:r>
    </w:p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97"/>
        <w:gridCol w:w="1597"/>
        <w:gridCol w:w="925"/>
        <w:gridCol w:w="1597"/>
        <w:gridCol w:w="1503"/>
        <w:gridCol w:w="845"/>
      </w:tblGrid>
      <w:tr w14:paraId="2194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49DA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折线运球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A6D0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时间（男）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7102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时间（女）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9AFB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07BB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时间（男）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D25F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时间（女）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87CE">
            <w:pPr>
              <w:spacing w:line="360" w:lineRule="exact"/>
              <w:jc w:val="center"/>
              <w:rPr>
                <w:rFonts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34B6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CC49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16322E3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7EFBB1B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1D55CC1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FB9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CA3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84E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DDF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F5A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974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</w:tr>
      <w:tr w14:paraId="0FE4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77D8F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3DB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94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8A6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439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B5B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8B6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</w:tr>
      <w:tr w14:paraId="4F37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68377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645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B05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063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7A3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B6A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A37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E33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85F1B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748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D51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55A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FF6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438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0FC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</w:tr>
      <w:tr w14:paraId="16C2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2F94A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002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91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9E9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FEA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7C7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786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</w:tr>
      <w:tr w14:paraId="2199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B842B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AFD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D07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059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BE3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46B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B48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</w:tr>
      <w:tr w14:paraId="5D1A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21E35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91B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BA9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843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783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43B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1FF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32AC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418A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7F3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647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E49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0A0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 w14:paraId="42CB9F5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B87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 w14:paraId="30369D8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0A06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</w:tr>
    </w:tbl>
    <w:p w14:paraId="4E9B793E">
      <w:pPr>
        <w:spacing w:line="56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58E75A">
      <w:pPr>
        <w:spacing w:line="56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（四）定位球踢准（15分）</w:t>
      </w:r>
    </w:p>
    <w:p w14:paraId="680A063A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测试场地：足球墙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可用球门拉线代替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，男子射门位置距球门或足球墙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16.8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米；女子射门位置距球门或足球墙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米。</w:t>
      </w:r>
    </w:p>
    <w:p w14:paraId="0235A573">
      <w:pPr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334000" cy="3419475"/>
            <wp:effectExtent l="0" t="0" r="0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866A">
      <w:pPr>
        <w:spacing w:line="592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（图三）</w:t>
      </w:r>
    </w:p>
    <w:p w14:paraId="5E5929ED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测试方法：听测评员口令后，将摆在罚球区线上指定位置的足球踢向球门，每人踢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个球。</w:t>
      </w:r>
    </w:p>
    <w:p w14:paraId="31BAAF9C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测评员按球射中各区域的分值记录得分，以球的第一落点为准。如球在到达门线之前落地，计为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分。如球打在两个或多个区域交界线或点上，记录分值较高分值。最后五个分值累加。每人测试两次，记录最佳成绩。</w:t>
      </w:r>
    </w:p>
    <w:p w14:paraId="408122D2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（表五）定位球踢准评分标准</w:t>
      </w:r>
    </w:p>
    <w:tbl>
      <w:tblPr>
        <w:tblStyle w:val="2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89"/>
        <w:gridCol w:w="1589"/>
        <w:gridCol w:w="906"/>
        <w:gridCol w:w="1418"/>
        <w:gridCol w:w="1436"/>
        <w:gridCol w:w="853"/>
      </w:tblGrid>
      <w:tr w14:paraId="1977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4AB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定位球踢准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F16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得分（男）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D50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得分（女）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5DB2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0CBC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得分（男）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112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得分（女）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1F9D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7BB9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2507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129F80F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3D938F4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2E87E9E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BC6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20分及以上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F13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20分及以上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932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400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63D4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9ED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</w:tr>
      <w:tr w14:paraId="2F63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A866A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3DA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5B54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846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A8B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43B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CBD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</w:tr>
      <w:tr w14:paraId="058A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A9E5C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14B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9D0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6F7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13C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FEA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316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41C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0757D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A906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271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ED6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CD4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744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507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</w:tr>
      <w:tr w14:paraId="2D52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95448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031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72A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962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E1E4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ED76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AD7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</w:tr>
      <w:tr w14:paraId="5EB8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21ED5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108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599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619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B5D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015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E20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</w:tr>
      <w:tr w14:paraId="200E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CD0F4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669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3F6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DA0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FC0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C39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57B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5646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35C28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840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55E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FF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098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135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7F7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</w:tr>
    </w:tbl>
    <w:p w14:paraId="2F15714D">
      <w:pPr>
        <w:spacing w:line="56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BC06A3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（五）手抛球（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0分）</w:t>
      </w:r>
    </w:p>
    <w:p w14:paraId="41F8D1D9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测试场地：球门区</w:t>
      </w:r>
    </w:p>
    <w:p w14:paraId="1DDFDD23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测试方法：守门员手持球（可做助跑，出球前身体的任何部位都不能过起点线，出球后可以过线）向前规定限制区内手抛球，球的落点必须在限制区内（大禁区两侧线向中场延伸至4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米，两侧线的顶端间隔宽度为2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米）。守门员手抛球时不能越出大禁区线。</w:t>
      </w:r>
    </w:p>
    <w:p w14:paraId="1F09AACA">
      <w:pP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362575" cy="1828800"/>
            <wp:effectExtent l="0" t="0" r="9525" b="0"/>
            <wp:docPr id="2" name="图片 2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91EE1">
      <w:pPr>
        <w:spacing w:line="560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（图四）</w:t>
      </w:r>
    </w:p>
    <w:p w14:paraId="45A4AF4D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Hlk137047268"/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</w:t>
      </w:r>
      <w:bookmarkEnd w:id="2"/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每人测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次，记录最好一次成绩，可抛半高球或高空球。</w:t>
      </w:r>
    </w:p>
    <w:p w14:paraId="2368BD00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（表六）手抛球评分标准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632"/>
        <w:gridCol w:w="1538"/>
        <w:gridCol w:w="948"/>
        <w:gridCol w:w="1553"/>
        <w:gridCol w:w="1515"/>
        <w:gridCol w:w="888"/>
      </w:tblGrid>
      <w:tr w14:paraId="532C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37E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手抛球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1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距离（男）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962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距离（女）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A1D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2E9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距离（男）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2F9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距离（女）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BA6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6945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9A54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26FCC6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546CDE6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01D62F6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F7E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35米及以上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6E6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30米及以上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C72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5F6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23米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C26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18米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DB5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</w:tr>
      <w:tr w14:paraId="7AE4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4E21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0C6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198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28米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68F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914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21米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AF9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16米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F36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</w:tr>
      <w:tr w14:paraId="1F65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BBE6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F64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DAC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26米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0C96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826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19米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870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14米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386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</w:tr>
      <w:tr w14:paraId="7AC8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0DDB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F7C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682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24米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D1E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D54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17米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CE7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12米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ACE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3442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AA5F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E70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38B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22米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9DC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A1E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米及以下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6AC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米及以下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43D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</w:tr>
      <w:tr w14:paraId="2445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B708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573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2CC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20米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6E4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8A65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F236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B34D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CF17BD">
      <w:pPr>
        <w:spacing w:line="56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91C4B5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（六）持球踢远（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0分）</w:t>
      </w:r>
    </w:p>
    <w:p w14:paraId="0440E7BF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测试场地：球门区</w:t>
      </w:r>
    </w:p>
    <w:p w14:paraId="14C621A5">
      <w:pPr>
        <w:spacing w:line="56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测试方法：守门员手持球（可做助跑，出球前身体的任何部位都不能过起点线，出球后可以过线）向前规定限制区内用脚发球，球的落点必须在限制区内（大禁区两侧线向中场延伸至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米，两侧线顶端间隔宽度为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米）。守门员踢球时不能越出大禁区线。</w:t>
      </w:r>
    </w:p>
    <w:p w14:paraId="37A73CBD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20786C">
      <w:pP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724400" cy="1704975"/>
            <wp:effectExtent l="0" t="0" r="0" b="9525"/>
            <wp:docPr id="1" name="图片 1" descr="图形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B92BF">
      <w:pPr>
        <w:spacing w:line="560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（图五）</w:t>
      </w:r>
    </w:p>
    <w:p w14:paraId="12DE20AD">
      <w:pPr>
        <w:spacing w:line="560" w:lineRule="exact"/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评分方法：每人测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次，记录最好一次成绩，可踢手抛球或反弹球。</w:t>
      </w:r>
    </w:p>
    <w:p w14:paraId="70DF6EDF">
      <w:pPr>
        <w:spacing w:line="560" w:lineRule="exact"/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（表七）持球踢远评分标准</w:t>
      </w:r>
    </w:p>
    <w:tbl>
      <w:tblPr>
        <w:tblStyle w:val="2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40"/>
        <w:gridCol w:w="1440"/>
        <w:gridCol w:w="1138"/>
        <w:gridCol w:w="1407"/>
        <w:gridCol w:w="1415"/>
        <w:gridCol w:w="958"/>
      </w:tblGrid>
      <w:tr w14:paraId="1790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Align w:val="center"/>
          </w:tcPr>
          <w:p w14:paraId="52D60CD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持球踢远</w:t>
            </w:r>
          </w:p>
        </w:tc>
        <w:tc>
          <w:tcPr>
            <w:tcW w:w="1440" w:type="dxa"/>
            <w:vAlign w:val="center"/>
          </w:tcPr>
          <w:p w14:paraId="43E9028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距离（男）</w:t>
            </w:r>
          </w:p>
        </w:tc>
        <w:tc>
          <w:tcPr>
            <w:tcW w:w="1440" w:type="dxa"/>
            <w:vAlign w:val="center"/>
          </w:tcPr>
          <w:p w14:paraId="62F3042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距离（女）</w:t>
            </w:r>
          </w:p>
        </w:tc>
        <w:tc>
          <w:tcPr>
            <w:tcW w:w="1138" w:type="dxa"/>
            <w:vAlign w:val="center"/>
          </w:tcPr>
          <w:p w14:paraId="3555B95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407" w:type="dxa"/>
            <w:vAlign w:val="center"/>
          </w:tcPr>
          <w:p w14:paraId="0E3FCDF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距离（男）</w:t>
            </w:r>
          </w:p>
        </w:tc>
        <w:tc>
          <w:tcPr>
            <w:tcW w:w="1415" w:type="dxa"/>
            <w:vAlign w:val="center"/>
          </w:tcPr>
          <w:p w14:paraId="2024A85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距离（女）</w:t>
            </w:r>
          </w:p>
        </w:tc>
        <w:tc>
          <w:tcPr>
            <w:tcW w:w="958" w:type="dxa"/>
            <w:vAlign w:val="center"/>
          </w:tcPr>
          <w:p w14:paraId="0F21298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7737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0" w:type="dxa"/>
            <w:vMerge w:val="restart"/>
            <w:vAlign w:val="center"/>
          </w:tcPr>
          <w:p w14:paraId="74C0024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44893524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534574C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25A2B7C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440" w:type="dxa"/>
            <w:vAlign w:val="center"/>
          </w:tcPr>
          <w:p w14:paraId="634F3E0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40" w:type="dxa"/>
            <w:vAlign w:val="center"/>
          </w:tcPr>
          <w:p w14:paraId="392F621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38" w:type="dxa"/>
            <w:vAlign w:val="center"/>
          </w:tcPr>
          <w:p w14:paraId="5164BF0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1407" w:type="dxa"/>
            <w:vAlign w:val="center"/>
          </w:tcPr>
          <w:p w14:paraId="534FCA0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15" w:type="dxa"/>
            <w:vAlign w:val="center"/>
          </w:tcPr>
          <w:p w14:paraId="7D859B7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958" w:type="dxa"/>
            <w:vAlign w:val="center"/>
          </w:tcPr>
          <w:p w14:paraId="75EF227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79D9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0" w:type="dxa"/>
            <w:vMerge w:val="continue"/>
            <w:vAlign w:val="center"/>
          </w:tcPr>
          <w:p w14:paraId="3307EE9F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33B74B4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40" w:type="dxa"/>
            <w:vAlign w:val="center"/>
          </w:tcPr>
          <w:p w14:paraId="168E36A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38" w:type="dxa"/>
            <w:vAlign w:val="center"/>
          </w:tcPr>
          <w:p w14:paraId="6AD5A6B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407" w:type="dxa"/>
            <w:vAlign w:val="center"/>
          </w:tcPr>
          <w:p w14:paraId="0D485EF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15" w:type="dxa"/>
            <w:vAlign w:val="center"/>
          </w:tcPr>
          <w:p w14:paraId="291EDEA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958" w:type="dxa"/>
            <w:vAlign w:val="center"/>
          </w:tcPr>
          <w:p w14:paraId="2DF1EE5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6C93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10" w:type="dxa"/>
            <w:vMerge w:val="continue"/>
            <w:vAlign w:val="center"/>
          </w:tcPr>
          <w:p w14:paraId="7A76FE3C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7B589D8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40" w:type="dxa"/>
            <w:vAlign w:val="center"/>
          </w:tcPr>
          <w:p w14:paraId="69E04B3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38" w:type="dxa"/>
            <w:vAlign w:val="center"/>
          </w:tcPr>
          <w:p w14:paraId="08878F2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407" w:type="dxa"/>
            <w:vAlign w:val="center"/>
          </w:tcPr>
          <w:p w14:paraId="07B579A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15" w:type="dxa"/>
            <w:vAlign w:val="center"/>
          </w:tcPr>
          <w:p w14:paraId="5E567CA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958" w:type="dxa"/>
            <w:vAlign w:val="center"/>
          </w:tcPr>
          <w:p w14:paraId="19B6EF7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92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 w14:paraId="36D0DA05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6986AD1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40" w:type="dxa"/>
            <w:vAlign w:val="center"/>
          </w:tcPr>
          <w:p w14:paraId="64EB7FD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38" w:type="dxa"/>
            <w:vAlign w:val="center"/>
          </w:tcPr>
          <w:p w14:paraId="1D19201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407" w:type="dxa"/>
            <w:vAlign w:val="center"/>
          </w:tcPr>
          <w:p w14:paraId="4D2CD4D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15" w:type="dxa"/>
            <w:vAlign w:val="center"/>
          </w:tcPr>
          <w:p w14:paraId="0470809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958" w:type="dxa"/>
            <w:vAlign w:val="center"/>
          </w:tcPr>
          <w:p w14:paraId="4C2B1FD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0A06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 w14:paraId="1BFF8E81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76073A4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40" w:type="dxa"/>
            <w:vAlign w:val="center"/>
          </w:tcPr>
          <w:p w14:paraId="6DD8C4F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38" w:type="dxa"/>
            <w:vAlign w:val="center"/>
          </w:tcPr>
          <w:p w14:paraId="1ED41E25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407" w:type="dxa"/>
            <w:vAlign w:val="center"/>
          </w:tcPr>
          <w:p w14:paraId="01D929A4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15" w:type="dxa"/>
            <w:vAlign w:val="center"/>
          </w:tcPr>
          <w:p w14:paraId="2F5F1A9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958" w:type="dxa"/>
            <w:vAlign w:val="center"/>
          </w:tcPr>
          <w:p w14:paraId="68ED498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25BC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 w14:paraId="3C83EEF2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311AB4F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40" w:type="dxa"/>
            <w:vAlign w:val="center"/>
          </w:tcPr>
          <w:p w14:paraId="7A38565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38" w:type="dxa"/>
            <w:vAlign w:val="center"/>
          </w:tcPr>
          <w:p w14:paraId="717A4384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407" w:type="dxa"/>
            <w:vMerge w:val="restart"/>
            <w:vAlign w:val="center"/>
          </w:tcPr>
          <w:p w14:paraId="539C682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33米及以下</w:t>
            </w:r>
          </w:p>
        </w:tc>
        <w:tc>
          <w:tcPr>
            <w:tcW w:w="1415" w:type="dxa"/>
            <w:vMerge w:val="restart"/>
            <w:vAlign w:val="center"/>
          </w:tcPr>
          <w:p w14:paraId="2F88F06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23米及以下</w:t>
            </w:r>
          </w:p>
        </w:tc>
        <w:tc>
          <w:tcPr>
            <w:tcW w:w="958" w:type="dxa"/>
            <w:vMerge w:val="restart"/>
            <w:vAlign w:val="center"/>
          </w:tcPr>
          <w:p w14:paraId="640E1E7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6A05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 w14:paraId="55ECF25E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0B4783E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40" w:type="dxa"/>
            <w:vAlign w:val="center"/>
          </w:tcPr>
          <w:p w14:paraId="746CEB0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38" w:type="dxa"/>
            <w:vAlign w:val="center"/>
          </w:tcPr>
          <w:p w14:paraId="260B565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407" w:type="dxa"/>
            <w:vMerge w:val="continue"/>
            <w:vAlign w:val="center"/>
          </w:tcPr>
          <w:p w14:paraId="1EBECFAD"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Merge w:val="continue"/>
            <w:vAlign w:val="center"/>
          </w:tcPr>
          <w:p w14:paraId="79BFD749"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Merge w:val="continue"/>
            <w:vAlign w:val="center"/>
          </w:tcPr>
          <w:p w14:paraId="5975852F"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842803">
      <w:pPr>
        <w:spacing w:line="560" w:lineRule="exac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AA2534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（七）扑接球（30分）</w:t>
      </w:r>
    </w:p>
    <w:p w14:paraId="244EDBAC">
      <w:pPr>
        <w:spacing w:line="54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测试场地：守门员站在球门区内，测评员在大禁区外射门。</w:t>
      </w:r>
    </w:p>
    <w:p w14:paraId="576E2243">
      <w:pPr>
        <w:spacing w:line="54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测试方法：守门员站在球门区内，扑接大禁区外由测评员射出的高、低、左、右不同角度的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个球。射出的球不在门框内不计，由测评员重新射门。</w:t>
      </w:r>
    </w:p>
    <w:p w14:paraId="088BC34F">
      <w:pPr>
        <w:spacing w:line="54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评分方法：总分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分，分为两个部分，分别为扑接球得分和技术动作分。扑接球得分为守门员每扑出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个球，得0.5分（满分5分）。技术动作分由评委根据守门员扑接球的技术动作进行评分（满分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5分）。评委</w:t>
      </w:r>
      <w:bookmarkStart w:id="3" w:name="_Hlk137141249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根据评分标准</w:t>
      </w:r>
      <w:bookmarkEnd w:id="3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对测试考生进行评分，去掉一个最高分和一个最低分，以其余评委的平均分作为该考生的最终成绩，保留小数点后一位（四舍五入）。本项最终得分为两个部分的分数之和。</w:t>
      </w:r>
    </w:p>
    <w:p w14:paraId="059A80B4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（表八）扑接球评分标准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944"/>
        <w:gridCol w:w="1944"/>
        <w:gridCol w:w="1945"/>
        <w:gridCol w:w="1945"/>
      </w:tblGrid>
      <w:tr w14:paraId="3645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0" w:type="dxa"/>
            <w:vAlign w:val="center"/>
          </w:tcPr>
          <w:p w14:paraId="1F0E7046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扑接球</w:t>
            </w:r>
          </w:p>
        </w:tc>
        <w:tc>
          <w:tcPr>
            <w:tcW w:w="1944" w:type="dxa"/>
            <w:vAlign w:val="center"/>
          </w:tcPr>
          <w:p w14:paraId="194D2D7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944" w:type="dxa"/>
            <w:vAlign w:val="center"/>
          </w:tcPr>
          <w:p w14:paraId="0FCE5D7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945" w:type="dxa"/>
            <w:vAlign w:val="center"/>
          </w:tcPr>
          <w:p w14:paraId="5E1DD06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945" w:type="dxa"/>
            <w:vAlign w:val="center"/>
          </w:tcPr>
          <w:p w14:paraId="1911D87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4058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0" w:type="dxa"/>
            <w:vAlign w:val="center"/>
          </w:tcPr>
          <w:p w14:paraId="249244EE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944" w:type="dxa"/>
            <w:vAlign w:val="center"/>
          </w:tcPr>
          <w:p w14:paraId="58D358A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19.0分</w:t>
            </w:r>
          </w:p>
        </w:tc>
        <w:tc>
          <w:tcPr>
            <w:tcW w:w="1944" w:type="dxa"/>
            <w:vAlign w:val="center"/>
          </w:tcPr>
          <w:p w14:paraId="27100C27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18.9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13.0分</w:t>
            </w:r>
          </w:p>
        </w:tc>
        <w:tc>
          <w:tcPr>
            <w:tcW w:w="1945" w:type="dxa"/>
            <w:vAlign w:val="center"/>
          </w:tcPr>
          <w:p w14:paraId="17ADDA2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12.9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6.0分</w:t>
            </w:r>
          </w:p>
        </w:tc>
        <w:tc>
          <w:tcPr>
            <w:tcW w:w="1945" w:type="dxa"/>
            <w:vAlign w:val="center"/>
          </w:tcPr>
          <w:p w14:paraId="4C6D707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766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1150" w:type="dxa"/>
            <w:vAlign w:val="center"/>
          </w:tcPr>
          <w:p w14:paraId="4BBC42B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6CEA519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2368846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4C754FB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944" w:type="dxa"/>
            <w:vAlign w:val="center"/>
          </w:tcPr>
          <w:p w14:paraId="438898F9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、手法、步法动作正确</w:t>
            </w:r>
          </w:p>
          <w:p w14:paraId="18FC445F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、接高球、低球动作合理</w:t>
            </w:r>
          </w:p>
          <w:p w14:paraId="1FA2E1D2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、左右侧扑接球动作协调</w:t>
            </w:r>
          </w:p>
        </w:tc>
        <w:tc>
          <w:tcPr>
            <w:tcW w:w="1944" w:type="dxa"/>
            <w:vAlign w:val="center"/>
          </w:tcPr>
          <w:p w14:paraId="571A99D2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、手法、步法动作较正确</w:t>
            </w:r>
          </w:p>
          <w:p w14:paraId="543A4A2C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、接高球、低球动作较合理</w:t>
            </w:r>
          </w:p>
          <w:p w14:paraId="410D6747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、左右侧扑接球动作较协调</w:t>
            </w:r>
          </w:p>
        </w:tc>
        <w:tc>
          <w:tcPr>
            <w:tcW w:w="1945" w:type="dxa"/>
            <w:vAlign w:val="center"/>
          </w:tcPr>
          <w:p w14:paraId="2B42183C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、手法、步法动作基本正确</w:t>
            </w:r>
          </w:p>
          <w:p w14:paraId="5A6641FF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、接高球、低球动作基本合理</w:t>
            </w:r>
          </w:p>
          <w:p w14:paraId="44FCD98A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、左右侧扑接球动作基本协调</w:t>
            </w:r>
          </w:p>
        </w:tc>
        <w:tc>
          <w:tcPr>
            <w:tcW w:w="1945" w:type="dxa"/>
            <w:vAlign w:val="center"/>
          </w:tcPr>
          <w:p w14:paraId="2AE38C6D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、手法、步法动作不正确</w:t>
            </w:r>
          </w:p>
          <w:p w14:paraId="04105407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、接高球、低球动作不合理</w:t>
            </w:r>
          </w:p>
          <w:p w14:paraId="72A8D5A1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、左右侧扑接球动作不协调</w:t>
            </w:r>
          </w:p>
        </w:tc>
      </w:tr>
    </w:tbl>
    <w:p w14:paraId="7F8CE53A">
      <w:pPr>
        <w:spacing w:line="540" w:lineRule="exact"/>
        <w:jc w:val="left"/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B973CE">
      <w:pPr>
        <w:spacing w:line="540" w:lineRule="exact"/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（八）实战能力（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 w14:paraId="408FD8FB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通过该项目的测试，重点考查考生各项技术的掌握情况、传球和无球跑动的能力、场上视野的开阔度、防守能力、合理运用技战术的能力。</w:t>
      </w:r>
    </w:p>
    <w:p w14:paraId="63B06D81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测试方法：根据考生人数和实际情况，进行编队比赛。测试考生技术和战术的运用能力。采用“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人”制，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号足球，比赛场地和竞赛规则参照国际足联最新审定的《足球竞赛规则》。</w:t>
      </w:r>
    </w:p>
    <w:p w14:paraId="5936BDC6">
      <w:pPr>
        <w:spacing w:line="592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要求：每场比赛分为上、下半场，半场比赛结束双方交换场地；比赛时间分为男子组和女子组，其中男子组为25分钟/半场，女子组为20分钟/半场，中场休息时间约为5分钟，裁判员可适当补时，以能够全部观察、了解每个考生的情况而定。</w:t>
      </w:r>
    </w:p>
    <w:p w14:paraId="19BD4F72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评分方法：由评委根据评分标准</w:t>
      </w:r>
      <w:bookmarkStart w:id="4" w:name="_Hlk137141276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对测试考生</w:t>
      </w:r>
      <w:bookmarkEnd w:id="4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进行比赛评分，满分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分。去掉两个最高分和两个最低分，以其余评委的平均分作为</w:t>
      </w:r>
      <w:bookmarkStart w:id="5" w:name="_Hlk137048041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该考生的</w:t>
      </w:r>
      <w:bookmarkEnd w:id="5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最终成绩，保留小数点</w:t>
      </w:r>
      <w:bookmarkStart w:id="6" w:name="_Hlk137048102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后一位</w:t>
      </w:r>
      <w:bookmarkEnd w:id="6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（四舍五入）。</w:t>
      </w:r>
    </w:p>
    <w:p w14:paraId="01ED6F08">
      <w:pPr>
        <w:spacing w:line="560" w:lineRule="exact"/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（表九）实战能力评分标准</w:t>
      </w:r>
    </w:p>
    <w:tbl>
      <w:tblPr>
        <w:tblStyle w:val="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087"/>
        <w:gridCol w:w="2087"/>
        <w:gridCol w:w="2087"/>
        <w:gridCol w:w="2088"/>
      </w:tblGrid>
      <w:tr w14:paraId="7A9E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 w14:paraId="001AE5C2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实战能力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5A8E14E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669B028F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2ACB488A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 w14:paraId="6B33EC6C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0861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 w14:paraId="590DD5F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05180958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40-30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7689B6A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30-20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366D062D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20-15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 w14:paraId="1B5DB8E9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15-10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7D88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 w14:paraId="23D16880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486D4DB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59A08803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4D2E52A1"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1E88FA89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、技术运用合理，</w:t>
            </w:r>
          </w:p>
          <w:p w14:paraId="7C611138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、对抗中接传球准确</w:t>
            </w:r>
          </w:p>
          <w:p w14:paraId="358126CD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、位置职责明确</w:t>
            </w:r>
          </w:p>
          <w:p w14:paraId="33949D46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、攻防转换意识强</w:t>
            </w:r>
          </w:p>
          <w:p w14:paraId="77CE4D30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、跑动积极、拼抢勇猛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250DAB71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、技术运用较合理，</w:t>
            </w:r>
          </w:p>
          <w:p w14:paraId="4A7CF716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、对抗中接传较球准确</w:t>
            </w:r>
          </w:p>
          <w:p w14:paraId="3E74AD7A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、位置职责较明确</w:t>
            </w:r>
          </w:p>
          <w:p w14:paraId="196B952A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、攻防转换意识较强</w:t>
            </w:r>
          </w:p>
          <w:p w14:paraId="630363DC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、跑动较积极、拼抢较勇猛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3067C684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、技术运用基本合理，</w:t>
            </w:r>
          </w:p>
          <w:p w14:paraId="68C5DB5E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、对抗中接传球基本准确</w:t>
            </w:r>
          </w:p>
          <w:p w14:paraId="1EE7F332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、位置职责基本明确</w:t>
            </w:r>
          </w:p>
          <w:p w14:paraId="41CC635C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、攻防转换意识基本强</w:t>
            </w:r>
          </w:p>
          <w:p w14:paraId="35E1EB01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、跑动基本积极、拼抢基本勇猛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 w14:paraId="7838828E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、技术运用不合理，</w:t>
            </w:r>
          </w:p>
          <w:p w14:paraId="53BE931B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、对抗中接传球不准确</w:t>
            </w:r>
          </w:p>
          <w:p w14:paraId="41867DCA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、位置职责不明确</w:t>
            </w:r>
          </w:p>
          <w:p w14:paraId="7674EE90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、攻防转换意识不强</w:t>
            </w:r>
          </w:p>
          <w:p w14:paraId="2A149F6D">
            <w:pPr>
              <w:rPr>
                <w:rFonts w:ascii="仿宋" w:hAnsi="仿宋" w:eastAsia="仿宋" w:cs="Times New Roman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、跑动不积极、拼抢不勇猛</w:t>
            </w:r>
          </w:p>
        </w:tc>
      </w:tr>
    </w:tbl>
    <w:p w14:paraId="2F35FF46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GZkYjUwZGRjYTVlY2EyZDg2MWEyMzM3YWJkNDAifQ=="/>
  </w:docVars>
  <w:rsids>
    <w:rsidRoot w:val="46F63117"/>
    <w:rsid w:val="46F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2025-06-10T07:21:00Z</dcterms:created>
  <dc:creator>一头汗</dc:creator>
  <cp:lastModifiedBy>一头汗</cp:lastModifiedBy>
  <dcterms:modified xsi:type="dcterms:W3CDTF">2025-06-10T07:22:12Z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50F466C61242477A9708FD52D9A6ACFF_11</vt:lpwstr>
  </property>
</Properties>
</file>